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D5" w:rsidRDefault="009070D5" w:rsidP="00C63DC5">
      <w:pPr>
        <w:spacing w:line="360" w:lineRule="auto"/>
        <w:contextualSpacing/>
        <w:rPr>
          <w:rFonts w:ascii="Courier New" w:hAnsi="Courier New" w:cs="Courier New"/>
          <w:sz w:val="24"/>
          <w:szCs w:val="24"/>
          <w:lang w:val="tr-TR"/>
        </w:rPr>
      </w:pPr>
    </w:p>
    <w:p w:rsidR="009360C2" w:rsidRDefault="009360C2" w:rsidP="00C63DC5">
      <w:pPr>
        <w:spacing w:line="360" w:lineRule="auto"/>
        <w:contextualSpacing/>
        <w:rPr>
          <w:rFonts w:ascii="Courier New" w:hAnsi="Courier New" w:cs="Courier New"/>
          <w:sz w:val="24"/>
          <w:szCs w:val="24"/>
          <w:lang w:val="tr-TR"/>
        </w:rPr>
      </w:pPr>
    </w:p>
    <w:p w:rsidR="005B41FA" w:rsidRDefault="005B41FA" w:rsidP="00C63DC5">
      <w:pPr>
        <w:spacing w:line="360" w:lineRule="auto"/>
        <w:contextualSpacing/>
        <w:rPr>
          <w:rFonts w:ascii="Times New Roman" w:hAnsi="Times New Roman" w:cs="Times New Roman"/>
          <w:sz w:val="24"/>
          <w:szCs w:val="24"/>
          <w:lang w:val="tr-TR"/>
        </w:rPr>
      </w:pPr>
      <w:r>
        <w:rPr>
          <w:rFonts w:ascii="Courier New" w:hAnsi="Courier New" w:cs="Courier New"/>
          <w:sz w:val="24"/>
          <w:szCs w:val="24"/>
          <w:lang w:val="tr-TR"/>
        </w:rPr>
        <w:tab/>
      </w:r>
      <w:r w:rsidRPr="005B41FA">
        <w:rPr>
          <w:rFonts w:ascii="Times New Roman" w:hAnsi="Times New Roman" w:cs="Times New Roman"/>
          <w:sz w:val="24"/>
          <w:szCs w:val="24"/>
          <w:lang w:val="tr-TR"/>
        </w:rPr>
        <w:t xml:space="preserve">Yüksek Mahkemenin </w:t>
      </w:r>
      <w:r w:rsidR="00FD19DA">
        <w:rPr>
          <w:rFonts w:ascii="Times New Roman" w:hAnsi="Times New Roman" w:cs="Times New Roman"/>
          <w:sz w:val="24"/>
          <w:szCs w:val="24"/>
          <w:lang w:val="tr-TR"/>
        </w:rPr>
        <w:t xml:space="preserve">Anayasa’da acil olarak </w:t>
      </w:r>
      <w:r w:rsidRPr="005B41FA">
        <w:rPr>
          <w:rFonts w:ascii="Times New Roman" w:hAnsi="Times New Roman" w:cs="Times New Roman"/>
          <w:sz w:val="24"/>
          <w:szCs w:val="24"/>
          <w:lang w:val="tr-TR"/>
        </w:rPr>
        <w:t>yapılmasını gerekli</w:t>
      </w:r>
      <w:r>
        <w:rPr>
          <w:rFonts w:ascii="Times New Roman" w:hAnsi="Times New Roman" w:cs="Times New Roman"/>
          <w:sz w:val="24"/>
          <w:szCs w:val="24"/>
          <w:lang w:val="tr-TR"/>
        </w:rPr>
        <w:t xml:space="preserve"> gördüğü yargı ile ilgili  değişiklik önerileri aşağıda sunulmaktadır.</w:t>
      </w:r>
    </w:p>
    <w:p w:rsidR="00FB64E9" w:rsidRDefault="00FB64E9" w:rsidP="00C63DC5">
      <w:pPr>
        <w:spacing w:line="360" w:lineRule="auto"/>
        <w:contextualSpacing/>
        <w:rPr>
          <w:rFonts w:ascii="Times New Roman" w:hAnsi="Times New Roman" w:cs="Times New Roman"/>
          <w:sz w:val="24"/>
          <w:szCs w:val="24"/>
          <w:lang w:val="tr-TR"/>
        </w:rPr>
      </w:pPr>
    </w:p>
    <w:p w:rsidR="00BC6C16" w:rsidRDefault="00BC6C16"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1.  </w:t>
      </w:r>
      <w:r w:rsidR="00C63DC5">
        <w:rPr>
          <w:rFonts w:ascii="Times New Roman" w:hAnsi="Times New Roman" w:cs="Times New Roman"/>
          <w:sz w:val="24"/>
          <w:szCs w:val="24"/>
          <w:lang w:val="tr-TR"/>
        </w:rPr>
        <w:t xml:space="preserve">  </w:t>
      </w:r>
      <w:r>
        <w:rPr>
          <w:rFonts w:ascii="Times New Roman" w:hAnsi="Times New Roman" w:cs="Times New Roman"/>
          <w:sz w:val="24"/>
          <w:szCs w:val="24"/>
          <w:lang w:val="tr-TR"/>
        </w:rPr>
        <w:t>Anayasanın 136. maddesine aşağıdaki 4. fıkranın eklenmesi:</w:t>
      </w:r>
    </w:p>
    <w:p w:rsidR="00C63DC5" w:rsidRPr="007C1C8D" w:rsidRDefault="00BC6C16"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ab/>
      </w:r>
      <w:r w:rsidR="00C63DC5" w:rsidRPr="007C1C8D">
        <w:rPr>
          <w:rFonts w:ascii="Times New Roman" w:hAnsi="Times New Roman" w:cs="Times New Roman"/>
          <w:sz w:val="24"/>
          <w:szCs w:val="24"/>
          <w:lang w:val="tr-TR"/>
        </w:rPr>
        <w:t xml:space="preserve">   </w:t>
      </w:r>
      <w:r w:rsidRPr="007C1C8D">
        <w:rPr>
          <w:rFonts w:ascii="Times New Roman" w:hAnsi="Times New Roman" w:cs="Times New Roman"/>
          <w:sz w:val="24"/>
          <w:szCs w:val="24"/>
          <w:lang w:val="tr-TR"/>
        </w:rPr>
        <w:t xml:space="preserve">(4) </w:t>
      </w:r>
      <w:r w:rsidRPr="007C1C8D">
        <w:rPr>
          <w:rFonts w:ascii="Times New Roman" w:hAnsi="Times New Roman" w:cs="Times New Roman"/>
          <w:sz w:val="24"/>
          <w:szCs w:val="24"/>
          <w:lang w:val="tr-TR"/>
        </w:rPr>
        <w:tab/>
        <w:t xml:space="preserve">Mahkemeler mali açıdan özerktir. Mahkemeler Bütçesi, Yüksek </w:t>
      </w:r>
    </w:p>
    <w:p w:rsidR="00C63DC5" w:rsidRPr="007C1C8D" w:rsidRDefault="00C63DC5" w:rsidP="00C63DC5">
      <w:pPr>
        <w:spacing w:line="360" w:lineRule="auto"/>
        <w:contextualSpacing/>
        <w:rPr>
          <w:rFonts w:ascii="Times New Roman" w:hAnsi="Times New Roman" w:cs="Times New Roman"/>
          <w:sz w:val="24"/>
          <w:szCs w:val="24"/>
          <w:lang w:val="tr-TR"/>
        </w:rPr>
      </w:pPr>
      <w:r w:rsidRPr="007C1C8D">
        <w:rPr>
          <w:rFonts w:ascii="Times New Roman" w:hAnsi="Times New Roman" w:cs="Times New Roman"/>
          <w:sz w:val="24"/>
          <w:szCs w:val="24"/>
          <w:lang w:val="tr-TR"/>
        </w:rPr>
        <w:tab/>
      </w:r>
      <w:r w:rsidRPr="007C1C8D">
        <w:rPr>
          <w:rFonts w:ascii="Times New Roman" w:hAnsi="Times New Roman" w:cs="Times New Roman"/>
          <w:sz w:val="24"/>
          <w:szCs w:val="24"/>
          <w:lang w:val="tr-TR"/>
        </w:rPr>
        <w:tab/>
      </w:r>
      <w:r w:rsidR="00BC6C16" w:rsidRPr="007C1C8D">
        <w:rPr>
          <w:rFonts w:ascii="Times New Roman" w:hAnsi="Times New Roman" w:cs="Times New Roman"/>
          <w:sz w:val="24"/>
          <w:szCs w:val="24"/>
          <w:lang w:val="tr-TR"/>
        </w:rPr>
        <w:t xml:space="preserve">Mahkeme eliyle kullanılır. Yüksek Mahkemenin, mali özerklik </w:t>
      </w:r>
      <w:r w:rsidRPr="007C1C8D">
        <w:rPr>
          <w:rFonts w:ascii="Times New Roman" w:hAnsi="Times New Roman" w:cs="Times New Roman"/>
          <w:sz w:val="24"/>
          <w:szCs w:val="24"/>
          <w:lang w:val="tr-TR"/>
        </w:rPr>
        <w:tab/>
      </w:r>
      <w:r w:rsidRPr="007C1C8D">
        <w:rPr>
          <w:rFonts w:ascii="Times New Roman" w:hAnsi="Times New Roman" w:cs="Times New Roman"/>
          <w:sz w:val="24"/>
          <w:szCs w:val="24"/>
          <w:lang w:val="tr-TR"/>
        </w:rPr>
        <w:tab/>
      </w:r>
      <w:r w:rsidRPr="007C1C8D">
        <w:rPr>
          <w:rFonts w:ascii="Times New Roman" w:hAnsi="Times New Roman" w:cs="Times New Roman"/>
          <w:sz w:val="24"/>
          <w:szCs w:val="24"/>
          <w:lang w:val="tr-TR"/>
        </w:rPr>
        <w:tab/>
        <w:t xml:space="preserve">            </w:t>
      </w:r>
      <w:r w:rsidR="007C1C8D">
        <w:rPr>
          <w:rFonts w:ascii="Times New Roman" w:hAnsi="Times New Roman" w:cs="Times New Roman"/>
          <w:sz w:val="24"/>
          <w:szCs w:val="24"/>
          <w:lang w:val="tr-TR"/>
        </w:rPr>
        <w:tab/>
      </w:r>
      <w:r w:rsidR="007C1C8D">
        <w:rPr>
          <w:rFonts w:ascii="Times New Roman" w:hAnsi="Times New Roman" w:cs="Times New Roman"/>
          <w:sz w:val="24"/>
          <w:szCs w:val="24"/>
          <w:lang w:val="tr-TR"/>
        </w:rPr>
        <w:tab/>
      </w:r>
      <w:r w:rsidR="00BC6C16" w:rsidRPr="007C1C8D">
        <w:rPr>
          <w:rFonts w:ascii="Times New Roman" w:hAnsi="Times New Roman" w:cs="Times New Roman"/>
          <w:sz w:val="24"/>
          <w:szCs w:val="24"/>
          <w:lang w:val="tr-TR"/>
        </w:rPr>
        <w:t xml:space="preserve">kapsamındaki görev ve yetkileri Mahkemelerin Bağımsızlığı ilkesine </w:t>
      </w:r>
    </w:p>
    <w:p w:rsidR="00BC6C16" w:rsidRPr="007C1C8D" w:rsidRDefault="00C63DC5" w:rsidP="00C63DC5">
      <w:pPr>
        <w:spacing w:line="360" w:lineRule="auto"/>
        <w:contextualSpacing/>
        <w:rPr>
          <w:rFonts w:ascii="Times New Roman" w:hAnsi="Times New Roman" w:cs="Times New Roman"/>
          <w:sz w:val="24"/>
          <w:szCs w:val="24"/>
          <w:lang w:val="tr-TR"/>
        </w:rPr>
      </w:pPr>
      <w:r w:rsidRPr="007C1C8D">
        <w:rPr>
          <w:rFonts w:ascii="Times New Roman" w:hAnsi="Times New Roman" w:cs="Times New Roman"/>
          <w:sz w:val="24"/>
          <w:szCs w:val="24"/>
          <w:lang w:val="tr-TR"/>
        </w:rPr>
        <w:tab/>
      </w:r>
      <w:r w:rsidRPr="007C1C8D">
        <w:rPr>
          <w:rFonts w:ascii="Times New Roman" w:hAnsi="Times New Roman" w:cs="Times New Roman"/>
          <w:sz w:val="24"/>
          <w:szCs w:val="24"/>
          <w:lang w:val="tr-TR"/>
        </w:rPr>
        <w:tab/>
      </w:r>
      <w:r w:rsidR="00BC6C16" w:rsidRPr="007C1C8D">
        <w:rPr>
          <w:rFonts w:ascii="Times New Roman" w:hAnsi="Times New Roman" w:cs="Times New Roman"/>
          <w:sz w:val="24"/>
          <w:szCs w:val="24"/>
          <w:lang w:val="tr-TR"/>
        </w:rPr>
        <w:t>göre yasa ile düzenlenir.</w:t>
      </w:r>
    </w:p>
    <w:p w:rsidR="00BC6C16" w:rsidRDefault="00BC6C16" w:rsidP="00C63DC5">
      <w:pPr>
        <w:spacing w:line="360" w:lineRule="auto"/>
        <w:contextualSpacing/>
        <w:rPr>
          <w:rFonts w:ascii="Times New Roman" w:hAnsi="Times New Roman" w:cs="Times New Roman"/>
          <w:sz w:val="24"/>
          <w:szCs w:val="24"/>
          <w:lang w:val="tr-TR"/>
        </w:rPr>
      </w:pPr>
    </w:p>
    <w:p w:rsidR="005B41FA" w:rsidRDefault="005B41FA" w:rsidP="00C63DC5">
      <w:pPr>
        <w:spacing w:line="360" w:lineRule="auto"/>
        <w:contextualSpacing/>
        <w:rPr>
          <w:rFonts w:ascii="Courier New" w:hAnsi="Courier New" w:cs="Courier New"/>
          <w:sz w:val="24"/>
          <w:szCs w:val="24"/>
          <w:lang w:val="tr-TR"/>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842"/>
        <w:gridCol w:w="851"/>
        <w:gridCol w:w="709"/>
        <w:gridCol w:w="6095"/>
      </w:tblGrid>
      <w:tr w:rsidR="005B41FA" w:rsidTr="00036B88">
        <w:tc>
          <w:tcPr>
            <w:tcW w:w="534" w:type="dxa"/>
          </w:tcPr>
          <w:p w:rsidR="005B41FA" w:rsidRPr="00CC7C5C" w:rsidRDefault="00C63DC5"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2.</w:t>
            </w:r>
            <w:r w:rsidR="00F916E0">
              <w:rPr>
                <w:rFonts w:ascii="Times New Roman" w:hAnsi="Times New Roman" w:cs="Times New Roman"/>
                <w:sz w:val="24"/>
                <w:szCs w:val="24"/>
                <w:lang w:val="tr-TR"/>
              </w:rPr>
              <w:tab/>
            </w:r>
          </w:p>
        </w:tc>
        <w:tc>
          <w:tcPr>
            <w:tcW w:w="9497" w:type="dxa"/>
            <w:gridSpan w:val="4"/>
          </w:tcPr>
          <w:p w:rsidR="005B41FA" w:rsidRPr="00CC7C5C" w:rsidRDefault="005B41FA" w:rsidP="00C63DC5">
            <w:pPr>
              <w:spacing w:line="360" w:lineRule="auto"/>
              <w:contextualSpacing/>
              <w:rPr>
                <w:rFonts w:ascii="Times New Roman" w:hAnsi="Times New Roman" w:cs="Times New Roman"/>
                <w:sz w:val="24"/>
                <w:szCs w:val="24"/>
                <w:lang w:val="tr-TR"/>
              </w:rPr>
            </w:pPr>
            <w:r w:rsidRPr="00CC7C5C">
              <w:rPr>
                <w:rFonts w:ascii="Times New Roman" w:hAnsi="Times New Roman" w:cs="Times New Roman"/>
                <w:sz w:val="24"/>
                <w:szCs w:val="24"/>
                <w:lang w:val="tr-TR"/>
              </w:rPr>
              <w:t>Anayasanın, 143’üncü maddesi</w:t>
            </w:r>
            <w:r w:rsidR="00C7709E">
              <w:rPr>
                <w:rFonts w:ascii="Times New Roman" w:hAnsi="Times New Roman" w:cs="Times New Roman"/>
                <w:sz w:val="24"/>
                <w:szCs w:val="24"/>
                <w:lang w:val="tr-TR"/>
              </w:rPr>
              <w:t xml:space="preserve">nin kaldırılarak yerine aşağıdaki yeni </w:t>
            </w:r>
            <w:r w:rsidRPr="00CC7C5C">
              <w:rPr>
                <w:rFonts w:ascii="Times New Roman" w:hAnsi="Times New Roman" w:cs="Times New Roman"/>
                <w:sz w:val="24"/>
                <w:szCs w:val="24"/>
                <w:lang w:val="tr-TR"/>
              </w:rPr>
              <w:t>143’üncü madde</w:t>
            </w:r>
            <w:r w:rsidR="00C7709E">
              <w:rPr>
                <w:rFonts w:ascii="Times New Roman" w:hAnsi="Times New Roman" w:cs="Times New Roman"/>
                <w:sz w:val="24"/>
                <w:szCs w:val="24"/>
                <w:lang w:val="tr-TR"/>
              </w:rPr>
              <w:t>nin konulması:</w:t>
            </w:r>
          </w:p>
        </w:tc>
      </w:tr>
      <w:tr w:rsidR="005B41FA" w:rsidTr="00036B88">
        <w:tc>
          <w:tcPr>
            <w:tcW w:w="2376" w:type="dxa"/>
            <w:gridSpan w:val="2"/>
          </w:tcPr>
          <w:p w:rsidR="005B41FA" w:rsidRDefault="00C63DC5"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Yüksek</w:t>
            </w:r>
          </w:p>
          <w:p w:rsidR="00C63DC5" w:rsidRDefault="00C63DC5"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Mahkemenin </w:t>
            </w:r>
          </w:p>
          <w:p w:rsidR="00C63DC5" w:rsidRDefault="00C63DC5"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Oluşumu ve</w:t>
            </w:r>
          </w:p>
          <w:p w:rsidR="00C63DC5" w:rsidRDefault="00C63DC5"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Görev </w:t>
            </w:r>
          </w:p>
          <w:p w:rsidR="00C63DC5" w:rsidRPr="00CC7C5C" w:rsidRDefault="00C63DC5"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Bölümü</w:t>
            </w:r>
          </w:p>
        </w:tc>
        <w:tc>
          <w:tcPr>
            <w:tcW w:w="851" w:type="dxa"/>
          </w:tcPr>
          <w:p w:rsidR="005B41FA" w:rsidRPr="00CC7C5C" w:rsidRDefault="005B41FA" w:rsidP="00C63DC5">
            <w:pPr>
              <w:spacing w:line="360" w:lineRule="auto"/>
              <w:contextualSpacing/>
              <w:rPr>
                <w:rFonts w:ascii="Times New Roman" w:hAnsi="Times New Roman" w:cs="Times New Roman"/>
                <w:sz w:val="24"/>
                <w:szCs w:val="24"/>
                <w:lang w:val="tr-TR"/>
              </w:rPr>
            </w:pPr>
            <w:r w:rsidRPr="00CC7C5C">
              <w:rPr>
                <w:rFonts w:ascii="Times New Roman" w:hAnsi="Times New Roman" w:cs="Times New Roman"/>
                <w:sz w:val="24"/>
                <w:szCs w:val="24"/>
                <w:lang w:val="tr-TR"/>
              </w:rPr>
              <w:t>143.</w:t>
            </w:r>
          </w:p>
        </w:tc>
        <w:tc>
          <w:tcPr>
            <w:tcW w:w="709" w:type="dxa"/>
          </w:tcPr>
          <w:p w:rsidR="005B41FA" w:rsidRPr="00CC7C5C" w:rsidRDefault="005B41FA" w:rsidP="00C63DC5">
            <w:pPr>
              <w:spacing w:line="360" w:lineRule="auto"/>
              <w:contextualSpacing/>
              <w:rPr>
                <w:rFonts w:ascii="Times New Roman" w:hAnsi="Times New Roman" w:cs="Times New Roman"/>
                <w:sz w:val="24"/>
                <w:szCs w:val="24"/>
                <w:lang w:val="tr-TR"/>
              </w:rPr>
            </w:pPr>
            <w:r w:rsidRPr="00CC7C5C">
              <w:rPr>
                <w:rFonts w:ascii="Times New Roman" w:hAnsi="Times New Roman" w:cs="Times New Roman"/>
                <w:sz w:val="24"/>
                <w:szCs w:val="24"/>
                <w:lang w:val="tr-TR"/>
              </w:rPr>
              <w:t>(1)</w:t>
            </w:r>
          </w:p>
        </w:tc>
        <w:tc>
          <w:tcPr>
            <w:tcW w:w="6095" w:type="dxa"/>
          </w:tcPr>
          <w:p w:rsidR="005B41FA" w:rsidRPr="00CC7C5C" w:rsidRDefault="005B41FA" w:rsidP="007C1C8D">
            <w:pPr>
              <w:spacing w:line="360" w:lineRule="auto"/>
              <w:contextualSpacing/>
              <w:rPr>
                <w:rFonts w:ascii="Times New Roman" w:hAnsi="Times New Roman" w:cs="Times New Roman"/>
                <w:sz w:val="24"/>
                <w:szCs w:val="24"/>
                <w:lang w:val="tr-TR"/>
              </w:rPr>
            </w:pPr>
            <w:r w:rsidRPr="00CC7C5C">
              <w:rPr>
                <w:rFonts w:ascii="Times New Roman" w:hAnsi="Times New Roman" w:cs="Times New Roman"/>
                <w:sz w:val="24"/>
                <w:szCs w:val="24"/>
                <w:lang w:val="tr-TR"/>
              </w:rPr>
              <w:t xml:space="preserve">Kuzey Kıbrıs Türk Cumhuriyeti Yüksek Mahkemesi bir Başkan ve en az </w:t>
            </w:r>
            <w:r w:rsidR="007C1C8D">
              <w:rPr>
                <w:rFonts w:ascii="Times New Roman" w:hAnsi="Times New Roman" w:cs="Times New Roman"/>
                <w:sz w:val="24"/>
                <w:szCs w:val="24"/>
                <w:lang w:val="tr-TR"/>
              </w:rPr>
              <w:t xml:space="preserve">7 en çok 12 </w:t>
            </w:r>
            <w:r w:rsidRPr="00CC7C5C">
              <w:rPr>
                <w:rFonts w:ascii="Times New Roman" w:hAnsi="Times New Roman" w:cs="Times New Roman"/>
                <w:sz w:val="24"/>
                <w:szCs w:val="24"/>
                <w:lang w:val="tr-TR"/>
              </w:rPr>
              <w:t xml:space="preserve"> yargıçtan oluşur. Başkanın yokluğunda en kıdemli yargıç ona vekillik eder.  </w:t>
            </w:r>
          </w:p>
        </w:tc>
      </w:tr>
      <w:tr w:rsidR="005B41FA" w:rsidTr="00036B88">
        <w:tc>
          <w:tcPr>
            <w:tcW w:w="2376" w:type="dxa"/>
            <w:gridSpan w:val="2"/>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851" w:type="dxa"/>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709" w:type="dxa"/>
          </w:tcPr>
          <w:p w:rsidR="005B41FA" w:rsidRPr="00CC7C5C" w:rsidRDefault="005B41FA" w:rsidP="00C63DC5">
            <w:pPr>
              <w:spacing w:line="360" w:lineRule="auto"/>
              <w:contextualSpacing/>
              <w:rPr>
                <w:rFonts w:ascii="Times New Roman" w:hAnsi="Times New Roman" w:cs="Times New Roman"/>
                <w:sz w:val="24"/>
                <w:szCs w:val="24"/>
                <w:lang w:val="tr-TR"/>
              </w:rPr>
            </w:pPr>
            <w:r w:rsidRPr="00CC7C5C">
              <w:rPr>
                <w:rFonts w:ascii="Times New Roman" w:hAnsi="Times New Roman" w:cs="Times New Roman"/>
                <w:sz w:val="24"/>
                <w:szCs w:val="24"/>
                <w:lang w:val="tr-TR"/>
              </w:rPr>
              <w:t>(2)</w:t>
            </w:r>
          </w:p>
        </w:tc>
        <w:tc>
          <w:tcPr>
            <w:tcW w:w="6095" w:type="dxa"/>
          </w:tcPr>
          <w:p w:rsidR="005B41FA" w:rsidRPr="00CC7C5C" w:rsidRDefault="005B41FA" w:rsidP="00C63DC5">
            <w:pPr>
              <w:spacing w:line="360" w:lineRule="auto"/>
              <w:contextualSpacing/>
              <w:rPr>
                <w:rFonts w:ascii="Times New Roman" w:hAnsi="Times New Roman" w:cs="Times New Roman"/>
                <w:sz w:val="24"/>
                <w:szCs w:val="24"/>
                <w:lang w:val="tr-TR"/>
              </w:rPr>
            </w:pPr>
            <w:r w:rsidRPr="00CC7C5C">
              <w:rPr>
                <w:rFonts w:ascii="Times New Roman" w:hAnsi="Times New Roman" w:cs="Times New Roman"/>
                <w:sz w:val="24"/>
                <w:szCs w:val="24"/>
                <w:lang w:val="tr-TR"/>
              </w:rPr>
              <w:t>Yüksek Mahkeme; Anayasa Mahkemesi, Yüce Divan</w:t>
            </w:r>
            <w:r>
              <w:rPr>
                <w:rFonts w:ascii="Times New Roman" w:hAnsi="Times New Roman" w:cs="Times New Roman"/>
                <w:sz w:val="24"/>
                <w:szCs w:val="24"/>
                <w:lang w:val="tr-TR"/>
              </w:rPr>
              <w:t>, Yargıtay ve Yüksek İdare Mahkemesi görevlerini yapar.</w:t>
            </w:r>
            <w:r w:rsidRPr="00CC7C5C">
              <w:rPr>
                <w:rFonts w:ascii="Times New Roman" w:hAnsi="Times New Roman" w:cs="Times New Roman"/>
                <w:sz w:val="24"/>
                <w:szCs w:val="24"/>
                <w:lang w:val="tr-TR"/>
              </w:rPr>
              <w:t xml:space="preserve"> </w:t>
            </w:r>
          </w:p>
        </w:tc>
      </w:tr>
      <w:tr w:rsidR="005B41FA" w:rsidTr="00036B88">
        <w:tc>
          <w:tcPr>
            <w:tcW w:w="2376" w:type="dxa"/>
            <w:gridSpan w:val="2"/>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851" w:type="dxa"/>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709" w:type="dxa"/>
          </w:tcPr>
          <w:p w:rsidR="005B41FA" w:rsidRPr="00CC7C5C"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(3)</w:t>
            </w:r>
          </w:p>
        </w:tc>
        <w:tc>
          <w:tcPr>
            <w:tcW w:w="6095" w:type="dxa"/>
          </w:tcPr>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Yüksek Mahkeme, Başkan ve dört yargıç ile toplanarak Anayasa Mahkemesi görevini yapar. Yüksek Mahkemenin en son atanan iki yargıcı yedek yargıç olarak görev yapar. Başkanın oturumda bulunmadığı hallerde, en kıdemli yargıç başkanlık eder.</w:t>
            </w:r>
          </w:p>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Bu Anayasanın 148. Maddesi uyarınca Anayasa Mahkemesine havale edilen konuların duruşmasında, havale kararına taraf olan yargıç veya yargıçlar görev alamaz veya karara iştirak edemezler.</w:t>
            </w:r>
          </w:p>
          <w:p w:rsidR="009070D5" w:rsidRDefault="009070D5" w:rsidP="00C63DC5">
            <w:pPr>
              <w:spacing w:line="360" w:lineRule="auto"/>
              <w:contextualSpacing/>
              <w:rPr>
                <w:rFonts w:ascii="Times New Roman" w:hAnsi="Times New Roman" w:cs="Times New Roman"/>
                <w:sz w:val="24"/>
                <w:szCs w:val="24"/>
                <w:lang w:val="tr-TR"/>
              </w:rPr>
            </w:pPr>
          </w:p>
          <w:p w:rsidR="009070D5" w:rsidRPr="00CC7C5C" w:rsidRDefault="009070D5" w:rsidP="00C63DC5">
            <w:pPr>
              <w:spacing w:line="360" w:lineRule="auto"/>
              <w:contextualSpacing/>
              <w:rPr>
                <w:rFonts w:ascii="Times New Roman" w:hAnsi="Times New Roman" w:cs="Times New Roman"/>
                <w:sz w:val="24"/>
                <w:szCs w:val="24"/>
                <w:lang w:val="tr-TR"/>
              </w:rPr>
            </w:pPr>
          </w:p>
        </w:tc>
      </w:tr>
      <w:tr w:rsidR="005B41FA" w:rsidTr="00036B88">
        <w:tc>
          <w:tcPr>
            <w:tcW w:w="2376" w:type="dxa"/>
            <w:gridSpan w:val="2"/>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851" w:type="dxa"/>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709" w:type="dxa"/>
          </w:tcPr>
          <w:p w:rsidR="005B41FA" w:rsidRPr="00CC7C5C"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(4)</w:t>
            </w:r>
          </w:p>
        </w:tc>
        <w:tc>
          <w:tcPr>
            <w:tcW w:w="6095" w:type="dxa"/>
          </w:tcPr>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Yüksek Mahkeme, Başkan ve iki yargıç ile veya sadece üç </w:t>
            </w:r>
            <w:r>
              <w:rPr>
                <w:rFonts w:ascii="Times New Roman" w:hAnsi="Times New Roman" w:cs="Times New Roman"/>
                <w:sz w:val="24"/>
                <w:szCs w:val="24"/>
                <w:lang w:val="tr-TR"/>
              </w:rPr>
              <w:lastRenderedPageBreak/>
              <w:t>yargıç ile toplanarak Yargıtay veya Yüksek İdare Mahkemesi olarak görev yapar. Bu görev çerçevesinde verilen kararlar kesindir. Başkanın bulunmadığı hallerde en kıdemli yargıç Başkanlık eder.</w:t>
            </w:r>
          </w:p>
          <w:p w:rsidR="005B41FA" w:rsidRPr="00CC7C5C"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İdare mahkemesi kararlarına karşı Yüksek İdare Mahkemesi’ne, istinaf yoluyla başvurulabilir. </w:t>
            </w:r>
          </w:p>
        </w:tc>
      </w:tr>
      <w:tr w:rsidR="005B41FA" w:rsidTr="00036B88">
        <w:tc>
          <w:tcPr>
            <w:tcW w:w="2376" w:type="dxa"/>
            <w:gridSpan w:val="2"/>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851" w:type="dxa"/>
          </w:tcPr>
          <w:p w:rsidR="005B41FA" w:rsidRPr="00CC7C5C" w:rsidRDefault="005B41FA" w:rsidP="00C63DC5">
            <w:pPr>
              <w:spacing w:line="360" w:lineRule="auto"/>
              <w:contextualSpacing/>
              <w:rPr>
                <w:rFonts w:ascii="Times New Roman" w:hAnsi="Times New Roman" w:cs="Times New Roman"/>
                <w:sz w:val="24"/>
                <w:szCs w:val="24"/>
                <w:lang w:val="tr-TR"/>
              </w:rPr>
            </w:pPr>
          </w:p>
        </w:tc>
        <w:tc>
          <w:tcPr>
            <w:tcW w:w="709" w:type="dxa"/>
          </w:tcPr>
          <w:p w:rsidR="005B41FA" w:rsidRPr="00CC7C5C"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(5)</w:t>
            </w:r>
          </w:p>
        </w:tc>
        <w:tc>
          <w:tcPr>
            <w:tcW w:w="6095" w:type="dxa"/>
          </w:tcPr>
          <w:p w:rsidR="00C63DC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Yargıtay veya Yüksek İdare Mahkemesinde görev yapacak olan Yüksek Mahkeme yargıçları, her adli yılın başlangıcından önce o adli yıl için Yüksek Mahkeme tarafından belirlenir ve bir adli yıl için o yargıç, Yargıtay veya Yüksek İdare Mahkemesinde görev yapar. </w:t>
            </w:r>
          </w:p>
          <w:p w:rsidR="005B41FA" w:rsidRPr="00CC7C5C"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Ancak Yargıtay veya Yüksek İdare Mahkemesinde bir yıl için görevli olan yargıçlardan herhangi birinin geçici olarak görevini yürütemediği hallerde Yüksek Mahkeme Başkanının görevlendireceği başka bir yargıç o görevi yürütebilir.</w:t>
            </w:r>
          </w:p>
        </w:tc>
      </w:tr>
    </w:tbl>
    <w:p w:rsidR="005B41FA" w:rsidRDefault="005B41FA" w:rsidP="00C63DC5">
      <w:pPr>
        <w:spacing w:line="360" w:lineRule="auto"/>
        <w:contextualSpacing/>
        <w:rPr>
          <w:rFonts w:ascii="Courier New" w:hAnsi="Courier New" w:cs="Courier New"/>
          <w:sz w:val="24"/>
          <w:szCs w:val="24"/>
          <w:lang w:val="tr-TR"/>
        </w:rPr>
      </w:pPr>
    </w:p>
    <w:p w:rsidR="00C63DC5" w:rsidRDefault="00C63DC5"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3.    Anayasanın, 144’inci maddesine aşağıdaki 3. fıkranın eklenmesi:</w:t>
      </w:r>
    </w:p>
    <w:p w:rsidR="00FE7DC7" w:rsidRDefault="00174C71"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ab/>
        <w:t xml:space="preserve">(3)    </w:t>
      </w:r>
      <w:r w:rsidR="00FE7DC7">
        <w:rPr>
          <w:rFonts w:ascii="Times New Roman" w:hAnsi="Times New Roman" w:cs="Times New Roman"/>
          <w:sz w:val="24"/>
          <w:szCs w:val="24"/>
          <w:lang w:val="tr-TR"/>
        </w:rPr>
        <w:t xml:space="preserve">Anayasa Mahkemesi mahkemeler arasındaki görev uyuşmazlıklarını </w:t>
      </w:r>
    </w:p>
    <w:p w:rsidR="00174C71"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kesin karara bağlama yetkisine sahiptir. Bir mahkeme tarafından </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verilmiş görevsizlik kararının kesinleşmesini müteakip, görevsizlik</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kararında görevli olduğu belirtilen mahkemeye süresi içerisinde </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başvuran kişi, o mahkeme tarafından da görevsizlik kararı verilmesi </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ve bu kararın da kesinleşmesi halinde, kararın kesinleşmesinden </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itibaren otuz gün içerisinde, görev uyuşmazlığının çözülmesi için </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Anayasa Mahkemesi’ne bir dilekçeyle başvurabilir. Anayasa Mahkemesi,</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başvuru üzerine, Anayasa kuralları çerçevesinde hangi mahkemenin </w:t>
      </w:r>
    </w:p>
    <w:p w:rsidR="00FE7DC7"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görevli olduğuna karar verir. Anayasa Mahkemesi’nin kararı kesindir ve</w:t>
      </w:r>
    </w:p>
    <w:p w:rsidR="00FE7DC7" w:rsidRPr="00C63DC5" w:rsidRDefault="00FE7DC7"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mahkemeler bu karara uymak zorundadır.</w:t>
      </w:r>
    </w:p>
    <w:p w:rsidR="00F916E0" w:rsidRDefault="00F916E0" w:rsidP="00C63DC5">
      <w:pPr>
        <w:spacing w:line="360" w:lineRule="auto"/>
        <w:contextualSpacing/>
        <w:rPr>
          <w:rFonts w:ascii="Courier New" w:hAnsi="Courier New" w:cs="Courier New"/>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268"/>
        <w:gridCol w:w="567"/>
        <w:gridCol w:w="6207"/>
      </w:tblGrid>
      <w:tr w:rsidR="005B41FA" w:rsidRPr="00EF1EBB" w:rsidTr="00036B88">
        <w:tc>
          <w:tcPr>
            <w:tcW w:w="534" w:type="dxa"/>
          </w:tcPr>
          <w:p w:rsidR="005B41FA"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FE7DC7">
              <w:rPr>
                <w:rFonts w:ascii="Times New Roman" w:hAnsi="Times New Roman" w:cs="Times New Roman"/>
                <w:sz w:val="24"/>
                <w:szCs w:val="24"/>
                <w:lang w:val="tr-TR"/>
              </w:rPr>
              <w:t>4</w:t>
            </w:r>
            <w:r>
              <w:rPr>
                <w:rFonts w:ascii="Times New Roman" w:hAnsi="Times New Roman" w:cs="Times New Roman"/>
                <w:sz w:val="24"/>
                <w:szCs w:val="24"/>
                <w:lang w:val="tr-TR"/>
              </w:rPr>
              <w:t>.</w:t>
            </w:r>
          </w:p>
          <w:p w:rsidR="005B41FA" w:rsidRPr="00EF1EBB" w:rsidRDefault="005B41FA" w:rsidP="00C63DC5">
            <w:pPr>
              <w:contextualSpacing/>
              <w:rPr>
                <w:rFonts w:ascii="Times New Roman" w:hAnsi="Times New Roman" w:cs="Times New Roman"/>
                <w:sz w:val="24"/>
                <w:szCs w:val="24"/>
                <w:lang w:val="tr-TR"/>
              </w:rPr>
            </w:pPr>
          </w:p>
        </w:tc>
        <w:tc>
          <w:tcPr>
            <w:tcW w:w="9042" w:type="dxa"/>
            <w:gridSpan w:val="3"/>
          </w:tcPr>
          <w:p w:rsidR="005B41FA" w:rsidRPr="00EF1EBB"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Anayasanın, 151’inci maddesi</w:t>
            </w:r>
            <w:r w:rsidR="00C7709E">
              <w:rPr>
                <w:rFonts w:ascii="Times New Roman" w:hAnsi="Times New Roman" w:cs="Times New Roman"/>
                <w:sz w:val="24"/>
                <w:szCs w:val="24"/>
                <w:lang w:val="tr-TR"/>
              </w:rPr>
              <w:t xml:space="preserve">nin kaldırılarak yerine aşağıdaki yeni 151’inci maddenin </w:t>
            </w:r>
            <w:r w:rsidR="00C7709E">
              <w:rPr>
                <w:rFonts w:ascii="Times New Roman" w:hAnsi="Times New Roman" w:cs="Times New Roman"/>
                <w:sz w:val="24"/>
                <w:szCs w:val="24"/>
                <w:lang w:val="tr-TR"/>
              </w:rPr>
              <w:lastRenderedPageBreak/>
              <w:t xml:space="preserve">konması: </w:t>
            </w:r>
          </w:p>
        </w:tc>
      </w:tr>
      <w:tr w:rsidR="005B41FA" w:rsidRPr="00EF1EBB" w:rsidTr="00036B88">
        <w:tc>
          <w:tcPr>
            <w:tcW w:w="534" w:type="dxa"/>
          </w:tcPr>
          <w:p w:rsidR="005B41FA" w:rsidRPr="00EF1EBB" w:rsidRDefault="005B41FA" w:rsidP="00C63DC5">
            <w:pPr>
              <w:spacing w:line="360" w:lineRule="auto"/>
              <w:contextualSpacing/>
              <w:rPr>
                <w:rFonts w:ascii="Times New Roman" w:hAnsi="Times New Roman" w:cs="Times New Roman"/>
                <w:sz w:val="24"/>
                <w:szCs w:val="24"/>
                <w:lang w:val="tr-TR"/>
              </w:rPr>
            </w:pPr>
          </w:p>
        </w:tc>
        <w:tc>
          <w:tcPr>
            <w:tcW w:w="2268" w:type="dxa"/>
          </w:tcPr>
          <w:p w:rsidR="005B41FA" w:rsidRDefault="005B41FA" w:rsidP="00C63DC5">
            <w:pPr>
              <w:contextualSpacing/>
              <w:rPr>
                <w:rFonts w:ascii="Times New Roman" w:hAnsi="Times New Roman" w:cs="Times New Roman"/>
                <w:sz w:val="24"/>
                <w:szCs w:val="24"/>
                <w:lang w:val="tr-TR"/>
              </w:rPr>
            </w:pPr>
            <w:r w:rsidRPr="00EF1EBB">
              <w:rPr>
                <w:rFonts w:ascii="Times New Roman" w:hAnsi="Times New Roman" w:cs="Times New Roman"/>
                <w:sz w:val="24"/>
                <w:szCs w:val="24"/>
                <w:lang w:val="tr-TR"/>
              </w:rPr>
              <w:t>Yarg</w:t>
            </w:r>
            <w:r>
              <w:rPr>
                <w:rFonts w:ascii="Times New Roman" w:hAnsi="Times New Roman" w:cs="Times New Roman"/>
                <w:sz w:val="24"/>
                <w:szCs w:val="24"/>
                <w:lang w:val="tr-TR"/>
              </w:rPr>
              <w:t>ıtay’ın       151.</w:t>
            </w:r>
          </w:p>
          <w:p w:rsidR="005B41FA" w:rsidRPr="00EF1EBB"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Yetkileri</w:t>
            </w:r>
          </w:p>
        </w:tc>
        <w:tc>
          <w:tcPr>
            <w:tcW w:w="567" w:type="dxa"/>
          </w:tcPr>
          <w:p w:rsidR="005B41FA" w:rsidRPr="00EF1EBB"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(1)</w:t>
            </w:r>
          </w:p>
        </w:tc>
        <w:tc>
          <w:tcPr>
            <w:tcW w:w="6207" w:type="dxa"/>
          </w:tcPr>
          <w:p w:rsidR="005B41FA" w:rsidRPr="00EF1EBB" w:rsidRDefault="005B41FA" w:rsidP="00FE7DC7">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Yargıtay, bu maddenin (</w:t>
            </w:r>
            <w:r w:rsidR="00FE7DC7">
              <w:rPr>
                <w:rFonts w:ascii="Times New Roman" w:hAnsi="Times New Roman" w:cs="Times New Roman"/>
                <w:sz w:val="24"/>
                <w:szCs w:val="24"/>
                <w:lang w:val="tr-TR"/>
              </w:rPr>
              <w:t>2</w:t>
            </w:r>
            <w:r>
              <w:rPr>
                <w:rFonts w:ascii="Times New Roman" w:hAnsi="Times New Roman" w:cs="Times New Roman"/>
                <w:sz w:val="24"/>
                <w:szCs w:val="24"/>
                <w:lang w:val="tr-TR"/>
              </w:rPr>
              <w:t xml:space="preserve">). fıkrası kuralı saklı kalmak koşuluyla, idare mahkemeleri dışındaki mahkemeler tarafından verilen kararlara karşı başvurabilecek istinaf mahkemesidir. Bu Anayasa ve onun gereğince yapılan yasa ve Mahkeme Tüzüğü kurallarına bağlı olarak, idare mahkemeleri dışındaki herhangi bir mahkeme kararına karşı yapılan istinaf başvurularını inceleme ve karara bağlama yetkisine sahiptir.  </w:t>
            </w:r>
          </w:p>
        </w:tc>
      </w:tr>
      <w:tr w:rsidR="005B41FA" w:rsidRPr="00EF1EBB" w:rsidTr="00036B88">
        <w:tc>
          <w:tcPr>
            <w:tcW w:w="534" w:type="dxa"/>
          </w:tcPr>
          <w:p w:rsidR="005B41FA" w:rsidRPr="00EF1EBB" w:rsidRDefault="005B41FA" w:rsidP="00C63DC5">
            <w:pPr>
              <w:spacing w:line="360" w:lineRule="auto"/>
              <w:contextualSpacing/>
              <w:rPr>
                <w:rFonts w:ascii="Times New Roman" w:hAnsi="Times New Roman" w:cs="Times New Roman"/>
                <w:sz w:val="24"/>
                <w:szCs w:val="24"/>
                <w:lang w:val="tr-TR"/>
              </w:rPr>
            </w:pPr>
          </w:p>
        </w:tc>
        <w:tc>
          <w:tcPr>
            <w:tcW w:w="2268" w:type="dxa"/>
          </w:tcPr>
          <w:p w:rsidR="005B41FA" w:rsidRPr="00EF1EBB" w:rsidRDefault="005B41FA" w:rsidP="00C63DC5">
            <w:pPr>
              <w:spacing w:line="360" w:lineRule="auto"/>
              <w:contextualSpacing/>
              <w:rPr>
                <w:rFonts w:ascii="Times New Roman" w:hAnsi="Times New Roman" w:cs="Times New Roman"/>
                <w:sz w:val="24"/>
                <w:szCs w:val="24"/>
                <w:lang w:val="tr-TR"/>
              </w:rPr>
            </w:pPr>
          </w:p>
        </w:tc>
        <w:tc>
          <w:tcPr>
            <w:tcW w:w="567" w:type="dxa"/>
          </w:tcPr>
          <w:p w:rsidR="005B41FA" w:rsidRPr="00EF1EBB"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w:t>
            </w:r>
            <w:r w:rsidR="00C7709E">
              <w:rPr>
                <w:rFonts w:ascii="Times New Roman" w:hAnsi="Times New Roman" w:cs="Times New Roman"/>
                <w:sz w:val="24"/>
                <w:szCs w:val="24"/>
                <w:lang w:val="tr-TR"/>
              </w:rPr>
              <w:t>2</w:t>
            </w:r>
            <w:r>
              <w:rPr>
                <w:rFonts w:ascii="Times New Roman" w:hAnsi="Times New Roman" w:cs="Times New Roman"/>
                <w:sz w:val="24"/>
                <w:szCs w:val="24"/>
                <w:lang w:val="tr-TR"/>
              </w:rPr>
              <w:t>)</w:t>
            </w:r>
          </w:p>
        </w:tc>
        <w:tc>
          <w:tcPr>
            <w:tcW w:w="6207" w:type="dxa"/>
          </w:tcPr>
          <w:p w:rsidR="005B41FA" w:rsidRPr="0001276B" w:rsidRDefault="005B41FA" w:rsidP="00C63DC5">
            <w:pPr>
              <w:spacing w:line="360" w:lineRule="auto"/>
              <w:contextualSpacing/>
              <w:rPr>
                <w:rFonts w:ascii="Times New Roman" w:hAnsi="Times New Roman" w:cs="Times New Roman"/>
                <w:b/>
                <w:sz w:val="24"/>
                <w:szCs w:val="24"/>
                <w:lang w:val="tr-TR"/>
              </w:rPr>
            </w:pPr>
            <w:r>
              <w:rPr>
                <w:rFonts w:ascii="Times New Roman" w:hAnsi="Times New Roman" w:cs="Times New Roman"/>
                <w:sz w:val="24"/>
                <w:szCs w:val="24"/>
                <w:lang w:val="tr-TR"/>
              </w:rPr>
              <w:t>Yetkisiz tutuklamanın kaldırılması için emirname (habeas corpus) çıkarma yetkisi</w:t>
            </w:r>
            <w:r w:rsidR="001D0B63">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C10AB6">
              <w:rPr>
                <w:rFonts w:ascii="Times New Roman" w:hAnsi="Times New Roman" w:cs="Times New Roman"/>
                <w:sz w:val="24"/>
                <w:szCs w:val="24"/>
                <w:lang w:val="tr-TR"/>
              </w:rPr>
              <w:t>İdare Mahkemeleri ve idari yetki kullanan makamlar hariç, herhangi bir  Mahkemenin veya yargı niteliğinde yetki kullanan makamın yanlış bir kararının uygulanmasını önlemek için emirname (Prohibition), idare mahkemeleri ve idari nitelikte yetki kullanan makamlar hariç, herhangi bir mahkeme veya yargı niteliğinde yetki kullanan makamın kararının iptali için emirname (Certiorari) çıkarma yetkisi münhasıran Yargıtaya aittir.</w:t>
            </w:r>
            <w:r>
              <w:rPr>
                <w:rFonts w:ascii="Times New Roman" w:hAnsi="Times New Roman" w:cs="Times New Roman"/>
                <w:b/>
                <w:sz w:val="24"/>
                <w:szCs w:val="24"/>
                <w:lang w:val="tr-TR"/>
              </w:rPr>
              <w:t xml:space="preserve">         </w:t>
            </w:r>
          </w:p>
        </w:tc>
      </w:tr>
    </w:tbl>
    <w:p w:rsidR="005B41FA" w:rsidRDefault="005B41FA" w:rsidP="00C63DC5">
      <w:pPr>
        <w:spacing w:line="360" w:lineRule="auto"/>
        <w:contextualSpacing/>
        <w:rPr>
          <w:rFonts w:ascii="Courier New" w:hAnsi="Courier New" w:cs="Courier New"/>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2421"/>
        <w:gridCol w:w="198"/>
        <w:gridCol w:w="511"/>
        <w:gridCol w:w="95"/>
        <w:gridCol w:w="616"/>
        <w:gridCol w:w="5213"/>
      </w:tblGrid>
      <w:tr w:rsidR="005B41FA" w:rsidRPr="00290798" w:rsidTr="00036B88">
        <w:tc>
          <w:tcPr>
            <w:tcW w:w="522" w:type="dxa"/>
          </w:tcPr>
          <w:p w:rsidR="005B41FA" w:rsidRDefault="001D0B63"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5</w:t>
            </w:r>
            <w:r w:rsidR="005B41FA">
              <w:rPr>
                <w:rFonts w:ascii="Times New Roman" w:hAnsi="Times New Roman" w:cs="Times New Roman"/>
                <w:sz w:val="24"/>
                <w:szCs w:val="24"/>
                <w:lang w:val="tr-TR"/>
              </w:rPr>
              <w:t>.</w:t>
            </w:r>
          </w:p>
          <w:p w:rsidR="005B41FA" w:rsidRPr="00290798" w:rsidRDefault="005B41FA" w:rsidP="00C63DC5">
            <w:pPr>
              <w:contextualSpacing/>
              <w:rPr>
                <w:rFonts w:ascii="Times New Roman" w:hAnsi="Times New Roman" w:cs="Times New Roman"/>
                <w:sz w:val="24"/>
                <w:szCs w:val="24"/>
                <w:lang w:val="tr-TR"/>
              </w:rPr>
            </w:pPr>
          </w:p>
        </w:tc>
        <w:tc>
          <w:tcPr>
            <w:tcW w:w="9054" w:type="dxa"/>
            <w:gridSpan w:val="6"/>
          </w:tcPr>
          <w:p w:rsidR="005B41FA" w:rsidRPr="00290798"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Anayasanın, 152’nci maddesi</w:t>
            </w:r>
            <w:r w:rsidR="00C7709E">
              <w:rPr>
                <w:rFonts w:ascii="Times New Roman" w:hAnsi="Times New Roman" w:cs="Times New Roman"/>
                <w:sz w:val="24"/>
                <w:szCs w:val="24"/>
                <w:lang w:val="tr-TR"/>
              </w:rPr>
              <w:t>nin kaldırılarak yerine aşağıdaki 152’nci maddenin konması:</w:t>
            </w:r>
            <w:r>
              <w:rPr>
                <w:rFonts w:ascii="Times New Roman" w:hAnsi="Times New Roman" w:cs="Times New Roman"/>
                <w:sz w:val="24"/>
                <w:szCs w:val="24"/>
                <w:lang w:val="tr-TR"/>
              </w:rPr>
              <w:t xml:space="preserve"> </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619" w:type="dxa"/>
            <w:gridSpan w:val="2"/>
          </w:tcPr>
          <w:p w:rsidR="005B41FA"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İdare                      </w:t>
            </w:r>
            <w:r w:rsidR="001D0B63">
              <w:rPr>
                <w:rFonts w:ascii="Times New Roman" w:hAnsi="Times New Roman" w:cs="Times New Roman"/>
                <w:sz w:val="24"/>
                <w:szCs w:val="24"/>
                <w:lang w:val="tr-TR"/>
              </w:rPr>
              <w:t xml:space="preserve">  </w:t>
            </w:r>
            <w:r>
              <w:rPr>
                <w:rFonts w:ascii="Times New Roman" w:hAnsi="Times New Roman" w:cs="Times New Roman"/>
                <w:sz w:val="24"/>
                <w:szCs w:val="24"/>
                <w:lang w:val="tr-TR"/>
              </w:rPr>
              <w:t>152.</w:t>
            </w:r>
          </w:p>
          <w:p w:rsidR="005B41FA"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Mahkemelerinin</w:t>
            </w:r>
          </w:p>
          <w:p w:rsidR="001D0B63"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ve Yüksek İdare   </w:t>
            </w:r>
          </w:p>
          <w:p w:rsidR="005B41FA"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Mahkemesinin </w:t>
            </w:r>
          </w:p>
          <w:p w:rsidR="005B41FA"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Görev ve</w:t>
            </w:r>
          </w:p>
          <w:p w:rsidR="005B41FA" w:rsidRDefault="005B41FA" w:rsidP="00C63DC5">
            <w:pPr>
              <w:contextualSpacing/>
              <w:rPr>
                <w:rFonts w:ascii="Times New Roman" w:hAnsi="Times New Roman" w:cs="Times New Roman"/>
                <w:sz w:val="24"/>
                <w:szCs w:val="24"/>
                <w:lang w:val="tr-TR"/>
              </w:rPr>
            </w:pPr>
            <w:r>
              <w:rPr>
                <w:rFonts w:ascii="Times New Roman" w:hAnsi="Times New Roman" w:cs="Times New Roman"/>
                <w:sz w:val="24"/>
                <w:szCs w:val="24"/>
                <w:lang w:val="tr-TR"/>
              </w:rPr>
              <w:t>Yetkileri</w:t>
            </w:r>
          </w:p>
          <w:p w:rsidR="005B41FA" w:rsidRPr="001E6075" w:rsidRDefault="005B41FA" w:rsidP="00C63DC5">
            <w:pPr>
              <w:contextualSpacing/>
              <w:rPr>
                <w:rFonts w:ascii="Times New Roman" w:hAnsi="Times New Roman" w:cs="Times New Roman"/>
                <w:sz w:val="24"/>
                <w:szCs w:val="24"/>
                <w:lang w:val="tr-TR"/>
              </w:rPr>
            </w:pPr>
          </w:p>
        </w:tc>
        <w:tc>
          <w:tcPr>
            <w:tcW w:w="606" w:type="dxa"/>
            <w:gridSpan w:val="2"/>
          </w:tcPr>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(1)</w:t>
            </w:r>
          </w:p>
          <w:p w:rsidR="005B41FA" w:rsidRDefault="005B41FA" w:rsidP="00C63DC5">
            <w:pPr>
              <w:spacing w:line="360" w:lineRule="auto"/>
              <w:contextualSpacing/>
              <w:rPr>
                <w:rFonts w:ascii="Times New Roman" w:hAnsi="Times New Roman" w:cs="Times New Roman"/>
                <w:sz w:val="24"/>
                <w:szCs w:val="24"/>
                <w:lang w:val="tr-TR"/>
              </w:rPr>
            </w:pPr>
          </w:p>
          <w:p w:rsidR="005B41FA" w:rsidRDefault="005B41FA" w:rsidP="00C63DC5">
            <w:pPr>
              <w:spacing w:line="360" w:lineRule="auto"/>
              <w:contextualSpacing/>
              <w:rPr>
                <w:rFonts w:ascii="Times New Roman" w:hAnsi="Times New Roman" w:cs="Times New Roman"/>
                <w:sz w:val="24"/>
                <w:szCs w:val="24"/>
                <w:lang w:val="tr-TR"/>
              </w:rPr>
            </w:pPr>
          </w:p>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(2)</w:t>
            </w:r>
          </w:p>
        </w:tc>
        <w:tc>
          <w:tcPr>
            <w:tcW w:w="5829" w:type="dxa"/>
            <w:gridSpan w:val="2"/>
          </w:tcPr>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İdari işlemlerin ve ihmallerin hukuka aykırılığına ilişkin başvuruları incelemeye, bu madde kuralları çerçevesinde, idare mahkemeleri münhasıran yetkilidir.</w:t>
            </w:r>
          </w:p>
          <w:p w:rsidR="005B41FA" w:rsidRPr="001E6075" w:rsidRDefault="005B41FA" w:rsidP="00FD19DA">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İdari eylemlerden doğan davalar münhasıran idare mahkemelerinde açılır.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619" w:type="dxa"/>
            <w:gridSpan w:val="2"/>
          </w:tcPr>
          <w:p w:rsidR="005B41FA" w:rsidRPr="001E6075" w:rsidRDefault="005B41FA" w:rsidP="00C63DC5">
            <w:pPr>
              <w:contextualSpacing/>
              <w:rPr>
                <w:rFonts w:ascii="Times New Roman" w:hAnsi="Times New Roman" w:cs="Times New Roman"/>
                <w:sz w:val="24"/>
                <w:szCs w:val="24"/>
                <w:lang w:val="tr-TR"/>
              </w:rPr>
            </w:pPr>
          </w:p>
        </w:tc>
        <w:tc>
          <w:tcPr>
            <w:tcW w:w="606"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(3)</w:t>
            </w:r>
          </w:p>
        </w:tc>
        <w:tc>
          <w:tcPr>
            <w:tcW w:w="5829" w:type="dxa"/>
            <w:gridSpan w:val="2"/>
          </w:tcPr>
          <w:p w:rsidR="009070D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İdare mahkemesinin görev alanına giren bir konuda başka mahkemelerde dava açılması ve bu davaların görev noktasından reddi hâlinde, bu husustaki kararların </w:t>
            </w:r>
          </w:p>
          <w:p w:rsidR="009070D5" w:rsidRDefault="009070D5" w:rsidP="00C63DC5">
            <w:pPr>
              <w:spacing w:line="360" w:lineRule="auto"/>
              <w:contextualSpacing/>
              <w:rPr>
                <w:rFonts w:ascii="Times New Roman" w:hAnsi="Times New Roman" w:cs="Times New Roman"/>
                <w:sz w:val="24"/>
                <w:szCs w:val="24"/>
                <w:lang w:val="tr-TR"/>
              </w:rPr>
            </w:pPr>
          </w:p>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kesinleşmesinden itibaren otuz gün içinde idare </w:t>
            </w:r>
            <w:r>
              <w:rPr>
                <w:rFonts w:ascii="Times New Roman" w:hAnsi="Times New Roman" w:cs="Times New Roman"/>
                <w:sz w:val="24"/>
                <w:szCs w:val="24"/>
                <w:lang w:val="tr-TR"/>
              </w:rPr>
              <w:lastRenderedPageBreak/>
              <w:t>mahkemesinde dava açılabilir.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61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606"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(4)</w:t>
            </w:r>
          </w:p>
        </w:tc>
        <w:tc>
          <w:tcPr>
            <w:tcW w:w="582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Yüksek İdare Mahkemesi, idare mahkemeleri tarafından verilen kararlara karşı başvurulabilecek istinaf mahkemesidir.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61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606"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(5)</w:t>
            </w:r>
          </w:p>
        </w:tc>
        <w:tc>
          <w:tcPr>
            <w:tcW w:w="5829" w:type="dxa"/>
            <w:gridSpan w:val="2"/>
          </w:tcPr>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Dava konusu idari işlem veya ihmalle ciddi ve makul ilgisi olanlar idare mahkemesine başvurma hakkına sahiptirler.</w:t>
            </w:r>
          </w:p>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Bir idari eylemden dolayı kişisel bir hakkı ihlal edilen kişi, zararının giderilmesi istemiyle idare mahkemesinde tazminat davası açabilir.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61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606"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(6)</w:t>
            </w:r>
          </w:p>
        </w:tc>
        <w:tc>
          <w:tcPr>
            <w:tcW w:w="5829" w:type="dxa"/>
            <w:gridSpan w:val="2"/>
          </w:tcPr>
          <w:p w:rsidR="005B41FA"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İdare mahkemesi, bir idari işlemin ya da ihmalin hukuka aykırılığı iddiasıyla yapılan bir başvuru üzerine, kararında:</w:t>
            </w:r>
          </w:p>
          <w:p w:rsidR="00C7709E" w:rsidRPr="00C10AB6" w:rsidRDefault="00C7709E" w:rsidP="001D0B63">
            <w:pPr>
              <w:spacing w:line="360" w:lineRule="auto"/>
              <w:contextualSpacing/>
              <w:rPr>
                <w:rFonts w:ascii="Times New Roman" w:hAnsi="Times New Roman" w:cs="Times New Roman"/>
                <w:sz w:val="24"/>
                <w:szCs w:val="24"/>
                <w:lang w:val="tr-TR"/>
              </w:rPr>
            </w:pPr>
            <w:r w:rsidRPr="00C10AB6">
              <w:rPr>
                <w:rFonts w:ascii="Times New Roman" w:hAnsi="Times New Roman" w:cs="Times New Roman"/>
                <w:sz w:val="24"/>
                <w:szCs w:val="24"/>
                <w:lang w:val="tr-TR"/>
              </w:rPr>
              <w:t xml:space="preserve">(A)  </w:t>
            </w:r>
            <w:r w:rsidR="001D0B63" w:rsidRPr="00C10AB6">
              <w:rPr>
                <w:rFonts w:ascii="Times New Roman" w:hAnsi="Times New Roman" w:cs="Times New Roman"/>
                <w:sz w:val="24"/>
                <w:szCs w:val="24"/>
                <w:lang w:val="tr-TR"/>
              </w:rPr>
              <w:t xml:space="preserve">   Başvuruyu tamamen veya kısmen reddedebilir.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3225" w:type="dxa"/>
            <w:gridSpan w:val="4"/>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616" w:type="dxa"/>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w:t>
            </w:r>
            <w:r w:rsidR="00014866">
              <w:rPr>
                <w:rFonts w:ascii="Times New Roman" w:hAnsi="Times New Roman" w:cs="Times New Roman"/>
                <w:sz w:val="24"/>
                <w:szCs w:val="24"/>
                <w:lang w:val="tr-TR"/>
              </w:rPr>
              <w:t>B</w:t>
            </w:r>
            <w:r>
              <w:rPr>
                <w:rFonts w:ascii="Times New Roman" w:hAnsi="Times New Roman" w:cs="Times New Roman"/>
                <w:sz w:val="24"/>
                <w:szCs w:val="24"/>
                <w:lang w:val="tr-TR"/>
              </w:rPr>
              <w:t>)</w:t>
            </w:r>
          </w:p>
        </w:tc>
        <w:tc>
          <w:tcPr>
            <w:tcW w:w="5213" w:type="dxa"/>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Dava konusu idari işlemi, tamamen veya kısmen iptal edebilir veya,</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3225" w:type="dxa"/>
            <w:gridSpan w:val="4"/>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616" w:type="dxa"/>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w:t>
            </w:r>
            <w:r w:rsidR="00014866">
              <w:rPr>
                <w:rFonts w:ascii="Times New Roman" w:hAnsi="Times New Roman" w:cs="Times New Roman"/>
                <w:sz w:val="24"/>
                <w:szCs w:val="24"/>
                <w:lang w:val="tr-TR"/>
              </w:rPr>
              <w:t>C</w:t>
            </w:r>
            <w:r>
              <w:rPr>
                <w:rFonts w:ascii="Times New Roman" w:hAnsi="Times New Roman" w:cs="Times New Roman"/>
                <w:sz w:val="24"/>
                <w:szCs w:val="24"/>
                <w:lang w:val="tr-TR"/>
              </w:rPr>
              <w:t>)</w:t>
            </w:r>
          </w:p>
        </w:tc>
        <w:tc>
          <w:tcPr>
            <w:tcW w:w="5213" w:type="dxa"/>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Dava konusu idari ihmalin, tamamen veya kısmen yapılmaması gerektiğine ve yapılması ihmal olunan eylem veya işlemin yapılması gerektiğine hükmedebilir.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3225" w:type="dxa"/>
            <w:gridSpan w:val="4"/>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616"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5213" w:type="dxa"/>
          </w:tcPr>
          <w:p w:rsidR="00036B88" w:rsidRDefault="005B41FA" w:rsidP="001D0B63">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İdare mahkemesi, dava konusu idari işlem veya ihmalle kişisel bir hakkı ihlal edilmiş olan davacının talep etmesi halinde, </w:t>
            </w:r>
            <w:r w:rsidRPr="00C10AB6">
              <w:rPr>
                <w:rFonts w:ascii="Times New Roman" w:hAnsi="Times New Roman" w:cs="Times New Roman"/>
                <w:sz w:val="24"/>
                <w:szCs w:val="24"/>
                <w:lang w:val="tr-TR"/>
              </w:rPr>
              <w:t>(</w:t>
            </w:r>
            <w:r w:rsidR="001D0B63" w:rsidRPr="00C10AB6">
              <w:rPr>
                <w:rFonts w:ascii="Times New Roman" w:hAnsi="Times New Roman" w:cs="Times New Roman"/>
                <w:sz w:val="24"/>
                <w:szCs w:val="24"/>
                <w:lang w:val="tr-TR"/>
              </w:rPr>
              <w:t>B</w:t>
            </w:r>
            <w:r w:rsidRPr="00C10AB6">
              <w:rPr>
                <w:rFonts w:ascii="Times New Roman" w:hAnsi="Times New Roman" w:cs="Times New Roman"/>
                <w:sz w:val="24"/>
                <w:szCs w:val="24"/>
                <w:lang w:val="tr-TR"/>
              </w:rPr>
              <w:t>) ve (</w:t>
            </w:r>
            <w:r w:rsidR="001D0B63" w:rsidRPr="00C10AB6">
              <w:rPr>
                <w:rFonts w:ascii="Times New Roman" w:hAnsi="Times New Roman" w:cs="Times New Roman"/>
                <w:sz w:val="24"/>
                <w:szCs w:val="24"/>
                <w:lang w:val="tr-TR"/>
              </w:rPr>
              <w:t>C</w:t>
            </w:r>
            <w:r w:rsidRPr="00C10AB6">
              <w:rPr>
                <w:rFonts w:ascii="Times New Roman" w:hAnsi="Times New Roman" w:cs="Times New Roman"/>
                <w:sz w:val="24"/>
                <w:szCs w:val="24"/>
                <w:lang w:val="tr-TR"/>
              </w:rPr>
              <w:t>)’deki</w:t>
            </w:r>
            <w:r>
              <w:rPr>
                <w:rFonts w:ascii="Times New Roman" w:hAnsi="Times New Roman" w:cs="Times New Roman"/>
                <w:sz w:val="24"/>
                <w:szCs w:val="24"/>
                <w:lang w:val="tr-TR"/>
              </w:rPr>
              <w:t xml:space="preserve"> kararlarla birlikte veya onlardan ay</w:t>
            </w:r>
            <w:r w:rsidR="001D0B63">
              <w:rPr>
                <w:rFonts w:ascii="Times New Roman" w:hAnsi="Times New Roman" w:cs="Times New Roman"/>
                <w:sz w:val="24"/>
                <w:szCs w:val="24"/>
                <w:lang w:val="tr-TR"/>
              </w:rPr>
              <w:t>r</w:t>
            </w:r>
            <w:r>
              <w:rPr>
                <w:rFonts w:ascii="Times New Roman" w:hAnsi="Times New Roman" w:cs="Times New Roman"/>
                <w:sz w:val="24"/>
                <w:szCs w:val="24"/>
                <w:lang w:val="tr-TR"/>
              </w:rPr>
              <w:t xml:space="preserve">ı olarak, bir idari işlem veya ihmalden kaynaklanan zararın tazminine de hükmedebilir. Mahkemenin tazminata </w:t>
            </w:r>
          </w:p>
          <w:p w:rsidR="005B41FA" w:rsidRDefault="005B41FA" w:rsidP="001D0B63">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hükmetmesi durumunda, idare, kusurlu kamu görevlisine, kusuru oranında rücu eder.</w:t>
            </w:r>
          </w:p>
          <w:p w:rsidR="009070D5" w:rsidRDefault="009070D5" w:rsidP="001D0B63">
            <w:pPr>
              <w:spacing w:line="360" w:lineRule="auto"/>
              <w:contextualSpacing/>
              <w:rPr>
                <w:rFonts w:ascii="Times New Roman" w:hAnsi="Times New Roman" w:cs="Times New Roman"/>
                <w:sz w:val="24"/>
                <w:szCs w:val="24"/>
                <w:lang w:val="tr-TR"/>
              </w:rPr>
            </w:pPr>
          </w:p>
          <w:p w:rsidR="009070D5" w:rsidRPr="001E6075" w:rsidRDefault="009070D5" w:rsidP="001D0B63">
            <w:pPr>
              <w:spacing w:line="360" w:lineRule="auto"/>
              <w:contextualSpacing/>
              <w:rPr>
                <w:rFonts w:ascii="Times New Roman" w:hAnsi="Times New Roman" w:cs="Times New Roman"/>
                <w:sz w:val="24"/>
                <w:szCs w:val="24"/>
                <w:lang w:val="tr-TR"/>
              </w:rPr>
            </w:pP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421"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70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(7)</w:t>
            </w:r>
          </w:p>
        </w:tc>
        <w:tc>
          <w:tcPr>
            <w:tcW w:w="5924" w:type="dxa"/>
            <w:gridSpan w:val="3"/>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İdare mahkemesi, bir idari eylemden dolayı kişisel bir </w:t>
            </w:r>
            <w:r>
              <w:rPr>
                <w:rFonts w:ascii="Times New Roman" w:hAnsi="Times New Roman" w:cs="Times New Roman"/>
                <w:sz w:val="24"/>
                <w:szCs w:val="24"/>
                <w:lang w:val="tr-TR"/>
              </w:rPr>
              <w:lastRenderedPageBreak/>
              <w:t>hakkı ihlal edilen kişinin açtığı tazminat davasında, tazminat talebini kısmen veya tamamen kabul ederek tazminata hükmedebilir. Mahkemenin tazminata hükmetmesi durumunda, idare, kusurlu kamu görevlisine kusuru oranında rücu eder.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421"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70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w:t>
            </w:r>
            <w:r w:rsidR="00014866">
              <w:rPr>
                <w:rFonts w:ascii="Times New Roman" w:hAnsi="Times New Roman" w:cs="Times New Roman"/>
                <w:sz w:val="24"/>
                <w:szCs w:val="24"/>
                <w:lang w:val="tr-TR"/>
              </w:rPr>
              <w:t>8</w:t>
            </w:r>
            <w:r>
              <w:rPr>
                <w:rFonts w:ascii="Times New Roman" w:hAnsi="Times New Roman" w:cs="Times New Roman"/>
                <w:sz w:val="24"/>
                <w:szCs w:val="24"/>
                <w:lang w:val="tr-TR"/>
              </w:rPr>
              <w:t>)</w:t>
            </w:r>
          </w:p>
        </w:tc>
        <w:tc>
          <w:tcPr>
            <w:tcW w:w="5924" w:type="dxa"/>
            <w:gridSpan w:val="3"/>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Bu madde gereğince mahkemelerce verilen herhangi bir karar veya emir, Devlet içerisindeki bütün mahkemeleri ve bütün organ ve makamları bağlar. Karar veya emir, ilgili organ, makam ve kişi tarafından uygulanır ve ona göre hareket edilir.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421"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70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w:t>
            </w:r>
            <w:r w:rsidR="00014866">
              <w:rPr>
                <w:rFonts w:ascii="Times New Roman" w:hAnsi="Times New Roman" w:cs="Times New Roman"/>
                <w:sz w:val="24"/>
                <w:szCs w:val="24"/>
                <w:lang w:val="tr-TR"/>
              </w:rPr>
              <w:t>9</w:t>
            </w:r>
            <w:r>
              <w:rPr>
                <w:rFonts w:ascii="Times New Roman" w:hAnsi="Times New Roman" w:cs="Times New Roman"/>
                <w:sz w:val="24"/>
                <w:szCs w:val="24"/>
                <w:lang w:val="tr-TR"/>
              </w:rPr>
              <w:t>)</w:t>
            </w:r>
          </w:p>
        </w:tc>
        <w:tc>
          <w:tcPr>
            <w:tcW w:w="5924" w:type="dxa"/>
            <w:gridSpan w:val="3"/>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İdare mahkemesi veya Yüksek İdare Mahkemesi kararını veya emrini yerine getirmeyen idare aleyhine, mahkeme kararının veya emrinin yerine getirilmemesinden doğan zararın giderilmesi istemiyle, kararı veya emri veren mahkemeye başvurulabilir. Mahkemenin idare aleyhine tazminata hükmetmesi durumunda, idare, kusurlu kamu görevlisine, kusuru oranında rücu eder.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421"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70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(1</w:t>
            </w:r>
            <w:r w:rsidR="00014866">
              <w:rPr>
                <w:rFonts w:ascii="Times New Roman" w:hAnsi="Times New Roman" w:cs="Times New Roman"/>
                <w:sz w:val="24"/>
                <w:szCs w:val="24"/>
                <w:lang w:val="tr-TR"/>
              </w:rPr>
              <w:t>0</w:t>
            </w:r>
            <w:r>
              <w:rPr>
                <w:rFonts w:ascii="Times New Roman" w:hAnsi="Times New Roman" w:cs="Times New Roman"/>
                <w:sz w:val="24"/>
                <w:szCs w:val="24"/>
                <w:lang w:val="tr-TR"/>
              </w:rPr>
              <w:t>)</w:t>
            </w:r>
          </w:p>
        </w:tc>
        <w:tc>
          <w:tcPr>
            <w:tcW w:w="5924" w:type="dxa"/>
            <w:gridSpan w:val="3"/>
          </w:tcPr>
          <w:p w:rsidR="00405C35" w:rsidRPr="001E6075" w:rsidRDefault="005B41FA" w:rsidP="00FD19DA">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Bir idari yetkinin kullanılması için emirname (mandamus), herhangi bir idari makamın hukuka aykırı bir işleminin uygulanmasını önlemek için emirname (prohibition) ve herhangi bir idari makamın hukuka aykırı bir idari işleminin iptali için emirname (certiorari) çıkarmaya münhasıran Yüksek İdare Mahkemesi yetkilidir. </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421"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70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(1</w:t>
            </w:r>
            <w:r w:rsidR="00014866">
              <w:rPr>
                <w:rFonts w:ascii="Times New Roman" w:hAnsi="Times New Roman" w:cs="Times New Roman"/>
                <w:sz w:val="24"/>
                <w:szCs w:val="24"/>
                <w:lang w:val="tr-TR"/>
              </w:rPr>
              <w:t>1</w:t>
            </w:r>
            <w:r>
              <w:rPr>
                <w:rFonts w:ascii="Times New Roman" w:hAnsi="Times New Roman" w:cs="Times New Roman"/>
                <w:sz w:val="24"/>
                <w:szCs w:val="24"/>
                <w:lang w:val="tr-TR"/>
              </w:rPr>
              <w:t>)</w:t>
            </w:r>
          </w:p>
        </w:tc>
        <w:tc>
          <w:tcPr>
            <w:tcW w:w="5924" w:type="dxa"/>
            <w:gridSpan w:val="3"/>
          </w:tcPr>
          <w:p w:rsidR="005B41FA" w:rsidRPr="001E6075" w:rsidRDefault="00014866" w:rsidP="00C63DC5">
            <w:pPr>
              <w:spacing w:line="360" w:lineRule="auto"/>
              <w:contextualSpacing/>
              <w:rPr>
                <w:rFonts w:ascii="Times New Roman" w:hAnsi="Times New Roman" w:cs="Times New Roman"/>
                <w:sz w:val="24"/>
                <w:szCs w:val="24"/>
                <w:lang w:val="tr-TR"/>
              </w:rPr>
            </w:pPr>
            <w:r w:rsidRPr="00C10AB6">
              <w:rPr>
                <w:rFonts w:ascii="Times New Roman" w:hAnsi="Times New Roman" w:cs="Times New Roman"/>
                <w:sz w:val="24"/>
                <w:szCs w:val="24"/>
                <w:lang w:val="tr-TR"/>
              </w:rPr>
              <w:t xml:space="preserve">İdare Mahkemelerinin kuruluşu ve </w:t>
            </w:r>
            <w:r w:rsidR="005B41FA" w:rsidRPr="00C10AB6">
              <w:rPr>
                <w:rFonts w:ascii="Times New Roman" w:hAnsi="Times New Roman" w:cs="Times New Roman"/>
                <w:sz w:val="24"/>
                <w:szCs w:val="24"/>
                <w:lang w:val="tr-TR"/>
              </w:rPr>
              <w:t xml:space="preserve">İdare </w:t>
            </w:r>
            <w:r w:rsidRPr="00C10AB6">
              <w:rPr>
                <w:rFonts w:ascii="Times New Roman" w:hAnsi="Times New Roman" w:cs="Times New Roman"/>
                <w:sz w:val="24"/>
                <w:szCs w:val="24"/>
                <w:lang w:val="tr-TR"/>
              </w:rPr>
              <w:t>M</w:t>
            </w:r>
            <w:r w:rsidR="005B41FA" w:rsidRPr="00C10AB6">
              <w:rPr>
                <w:rFonts w:ascii="Times New Roman" w:hAnsi="Times New Roman" w:cs="Times New Roman"/>
                <w:sz w:val="24"/>
                <w:szCs w:val="24"/>
                <w:lang w:val="tr-TR"/>
              </w:rPr>
              <w:t>ahkemeleri</w:t>
            </w:r>
            <w:r w:rsidRPr="00C10AB6">
              <w:rPr>
                <w:rFonts w:ascii="Times New Roman" w:hAnsi="Times New Roman" w:cs="Times New Roman"/>
                <w:sz w:val="24"/>
                <w:szCs w:val="24"/>
                <w:lang w:val="tr-TR"/>
              </w:rPr>
              <w:t xml:space="preserve"> ile</w:t>
            </w:r>
            <w:r w:rsidR="005B41FA" w:rsidRPr="00C10AB6">
              <w:rPr>
                <w:rFonts w:ascii="Times New Roman" w:hAnsi="Times New Roman" w:cs="Times New Roman"/>
                <w:sz w:val="24"/>
                <w:szCs w:val="24"/>
                <w:lang w:val="tr-TR"/>
              </w:rPr>
              <w:t xml:space="preserve"> Y</w:t>
            </w:r>
            <w:r w:rsidR="005B41FA">
              <w:rPr>
                <w:rFonts w:ascii="Times New Roman" w:hAnsi="Times New Roman" w:cs="Times New Roman"/>
                <w:sz w:val="24"/>
                <w:szCs w:val="24"/>
                <w:lang w:val="tr-TR"/>
              </w:rPr>
              <w:t>üksek İdare Mahkemesi’nde uygulanacak yargılama usulü, idari yargının işlevi göz önünde bulundurularak yasayla düzenlenir.</w:t>
            </w:r>
          </w:p>
        </w:tc>
      </w:tr>
      <w:tr w:rsidR="005B41FA" w:rsidRPr="001E6075" w:rsidTr="00036B88">
        <w:tc>
          <w:tcPr>
            <w:tcW w:w="522"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2421" w:type="dxa"/>
          </w:tcPr>
          <w:p w:rsidR="005B41FA" w:rsidRPr="001E6075" w:rsidRDefault="005B41FA" w:rsidP="00C63DC5">
            <w:pPr>
              <w:spacing w:line="360" w:lineRule="auto"/>
              <w:contextualSpacing/>
              <w:rPr>
                <w:rFonts w:ascii="Times New Roman" w:hAnsi="Times New Roman" w:cs="Times New Roman"/>
                <w:sz w:val="24"/>
                <w:szCs w:val="24"/>
                <w:lang w:val="tr-TR"/>
              </w:rPr>
            </w:pPr>
          </w:p>
        </w:tc>
        <w:tc>
          <w:tcPr>
            <w:tcW w:w="709" w:type="dxa"/>
            <w:gridSpan w:val="2"/>
          </w:tcPr>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(1</w:t>
            </w:r>
            <w:r w:rsidR="00014866">
              <w:rPr>
                <w:rFonts w:ascii="Times New Roman" w:hAnsi="Times New Roman" w:cs="Times New Roman"/>
                <w:sz w:val="24"/>
                <w:szCs w:val="24"/>
                <w:lang w:val="tr-TR"/>
              </w:rPr>
              <w:t>2</w:t>
            </w:r>
            <w:r>
              <w:rPr>
                <w:rFonts w:ascii="Times New Roman" w:hAnsi="Times New Roman" w:cs="Times New Roman"/>
                <w:sz w:val="24"/>
                <w:szCs w:val="24"/>
                <w:lang w:val="tr-TR"/>
              </w:rPr>
              <w:t>)</w:t>
            </w:r>
          </w:p>
        </w:tc>
        <w:tc>
          <w:tcPr>
            <w:tcW w:w="5924" w:type="dxa"/>
            <w:gridSpan w:val="3"/>
          </w:tcPr>
          <w:p w:rsidR="00C10AB6"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İdari yargıda dava açma süresi, idari </w:t>
            </w:r>
            <w:r w:rsidR="001D0B63" w:rsidRPr="00C10AB6">
              <w:rPr>
                <w:rFonts w:ascii="Times New Roman" w:hAnsi="Times New Roman" w:cs="Times New Roman"/>
                <w:sz w:val="24"/>
                <w:szCs w:val="24"/>
                <w:lang w:val="tr-TR"/>
              </w:rPr>
              <w:t xml:space="preserve">karar veya </w:t>
            </w:r>
            <w:r w:rsidRPr="00C10AB6">
              <w:rPr>
                <w:rFonts w:ascii="Times New Roman" w:hAnsi="Times New Roman" w:cs="Times New Roman"/>
                <w:sz w:val="24"/>
                <w:szCs w:val="24"/>
                <w:lang w:val="tr-TR"/>
              </w:rPr>
              <w:t>işlemin, ihmali</w:t>
            </w:r>
            <w:r w:rsidR="001D0B63" w:rsidRPr="00C10AB6">
              <w:rPr>
                <w:rFonts w:ascii="Times New Roman" w:hAnsi="Times New Roman" w:cs="Times New Roman"/>
                <w:sz w:val="24"/>
                <w:szCs w:val="24"/>
                <w:lang w:val="tr-TR"/>
              </w:rPr>
              <w:t>n</w:t>
            </w:r>
            <w:r w:rsidRPr="00C10AB6">
              <w:rPr>
                <w:rFonts w:ascii="Times New Roman" w:hAnsi="Times New Roman" w:cs="Times New Roman"/>
                <w:sz w:val="24"/>
                <w:szCs w:val="24"/>
                <w:lang w:val="tr-TR"/>
              </w:rPr>
              <w:t xml:space="preserve"> ya da eylemin öğrenilmesi tarih</w:t>
            </w:r>
            <w:r>
              <w:rPr>
                <w:rFonts w:ascii="Times New Roman" w:hAnsi="Times New Roman" w:cs="Times New Roman"/>
                <w:sz w:val="24"/>
                <w:szCs w:val="24"/>
                <w:lang w:val="tr-TR"/>
              </w:rPr>
              <w:t xml:space="preserve">inden itibaren başlar. Dava açma süresi 75 gündür. </w:t>
            </w:r>
            <w:r w:rsidR="00FD644A">
              <w:rPr>
                <w:rFonts w:ascii="Times New Roman" w:hAnsi="Times New Roman" w:cs="Times New Roman"/>
                <w:sz w:val="24"/>
                <w:szCs w:val="24"/>
                <w:lang w:val="tr-TR"/>
              </w:rPr>
              <w:t>D</w:t>
            </w:r>
            <w:r>
              <w:rPr>
                <w:rFonts w:ascii="Times New Roman" w:hAnsi="Times New Roman" w:cs="Times New Roman"/>
                <w:sz w:val="24"/>
                <w:szCs w:val="24"/>
                <w:lang w:val="tr-TR"/>
              </w:rPr>
              <w:t xml:space="preserve">ava açma süresi geçtikten sonra açılan davalar, mahkemenin davanın </w:t>
            </w:r>
            <w:r>
              <w:rPr>
                <w:rFonts w:ascii="Times New Roman" w:hAnsi="Times New Roman" w:cs="Times New Roman"/>
                <w:sz w:val="24"/>
                <w:szCs w:val="24"/>
                <w:lang w:val="tr-TR"/>
              </w:rPr>
              <w:lastRenderedPageBreak/>
              <w:t xml:space="preserve">görülmesinde kamu yararı bulunduğuna karar verdiği </w:t>
            </w:r>
          </w:p>
          <w:p w:rsidR="005B41FA" w:rsidRPr="001E6075" w:rsidRDefault="005B41FA"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istisnai durumlar saklı kalmak kaydıyla, mahkemelerce reddedilir.</w:t>
            </w:r>
          </w:p>
        </w:tc>
      </w:tr>
    </w:tbl>
    <w:p w:rsidR="005B41FA" w:rsidRDefault="005B41FA" w:rsidP="00C63DC5">
      <w:pPr>
        <w:spacing w:line="360" w:lineRule="auto"/>
        <w:contextualSpacing/>
        <w:rPr>
          <w:rFonts w:ascii="Courier New" w:hAnsi="Courier New" w:cs="Courier New"/>
          <w:sz w:val="24"/>
          <w:szCs w:val="24"/>
          <w:lang w:val="tr-TR"/>
        </w:rPr>
      </w:pPr>
    </w:p>
    <w:p w:rsidR="00014866" w:rsidRDefault="00014866" w:rsidP="00C63DC5">
      <w:pPr>
        <w:spacing w:line="360" w:lineRule="auto"/>
        <w:contextualSpacing/>
        <w:rPr>
          <w:rFonts w:ascii="Courier New" w:hAnsi="Courier New" w:cs="Courier New"/>
          <w:sz w:val="24"/>
          <w:szCs w:val="24"/>
          <w:lang w:val="tr-TR"/>
        </w:rPr>
      </w:pPr>
    </w:p>
    <w:p w:rsidR="00014866" w:rsidRDefault="00982073" w:rsidP="00C63DC5">
      <w:pPr>
        <w:spacing w:line="360" w:lineRule="auto"/>
        <w:contextualSpacing/>
        <w:rPr>
          <w:rFonts w:ascii="Times New Roman" w:hAnsi="Times New Roman" w:cs="Times New Roman"/>
          <w:sz w:val="24"/>
          <w:szCs w:val="24"/>
          <w:lang w:val="tr-TR"/>
        </w:rPr>
      </w:pPr>
      <w:r w:rsidRPr="00036B88">
        <w:rPr>
          <w:rFonts w:ascii="Times New Roman" w:hAnsi="Times New Roman" w:cs="Times New Roman"/>
          <w:sz w:val="24"/>
          <w:szCs w:val="24"/>
          <w:lang w:val="tr-TR"/>
        </w:rPr>
        <w:t xml:space="preserve">6. </w:t>
      </w:r>
      <w:r w:rsidR="00036B88">
        <w:rPr>
          <w:rFonts w:ascii="Times New Roman" w:hAnsi="Times New Roman" w:cs="Times New Roman"/>
          <w:sz w:val="24"/>
          <w:szCs w:val="24"/>
          <w:lang w:val="tr-TR"/>
        </w:rPr>
        <w:t xml:space="preserve">  Anayasaya aşağıdaki şekilde Geçici Madde eklenmesi:</w:t>
      </w:r>
    </w:p>
    <w:p w:rsidR="00036B88" w:rsidRDefault="00036B88"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1. </w:t>
      </w:r>
      <w:r w:rsidR="00786547">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İdare mahkemeleri kurulana ve göreve başlayana kadar geçecek süre </w:t>
      </w:r>
    </w:p>
    <w:p w:rsidR="00036B88" w:rsidRDefault="00036B88"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içerisinde,Yüksek İdare Mahkemesi, bu değişiklikten önceki görevlerine</w:t>
      </w:r>
    </w:p>
    <w:p w:rsidR="00036B88" w:rsidRPr="00036B88" w:rsidRDefault="00036B88" w:rsidP="00C63DC5">
      <w:pPr>
        <w:spacing w:line="360" w:lineRule="auto"/>
        <w:contextualSpacing/>
        <w:rPr>
          <w:rFonts w:ascii="Times New Roman" w:hAnsi="Times New Roman" w:cs="Times New Roman"/>
          <w:sz w:val="24"/>
          <w:szCs w:val="24"/>
          <w:lang w:val="tr-TR"/>
        </w:rPr>
      </w:pPr>
      <w:r>
        <w:rPr>
          <w:rFonts w:ascii="Times New Roman" w:hAnsi="Times New Roman" w:cs="Times New Roman"/>
          <w:sz w:val="24"/>
          <w:szCs w:val="24"/>
          <w:lang w:val="tr-TR"/>
        </w:rPr>
        <w:t xml:space="preserve">                  aynen devam edecektir. </w:t>
      </w:r>
    </w:p>
    <w:p w:rsidR="00014866" w:rsidRDefault="00014866" w:rsidP="00C63DC5">
      <w:pPr>
        <w:spacing w:line="360" w:lineRule="auto"/>
        <w:contextualSpacing/>
        <w:rPr>
          <w:rFonts w:ascii="Courier New" w:hAnsi="Courier New" w:cs="Courier New"/>
          <w:sz w:val="24"/>
          <w:szCs w:val="24"/>
          <w:lang w:val="tr-TR"/>
        </w:rPr>
      </w:pPr>
    </w:p>
    <w:p w:rsidR="00014866" w:rsidRDefault="00014866" w:rsidP="00C63DC5">
      <w:pPr>
        <w:spacing w:line="360" w:lineRule="auto"/>
        <w:contextualSpacing/>
        <w:rPr>
          <w:rFonts w:ascii="Courier New" w:hAnsi="Courier New" w:cs="Courier New"/>
          <w:sz w:val="24"/>
          <w:szCs w:val="24"/>
          <w:lang w:val="tr-TR"/>
        </w:rPr>
      </w:pPr>
    </w:p>
    <w:p w:rsidR="00014866" w:rsidRDefault="00014866" w:rsidP="00C63DC5">
      <w:pPr>
        <w:spacing w:line="360" w:lineRule="auto"/>
        <w:contextualSpacing/>
        <w:rPr>
          <w:rFonts w:ascii="Courier New" w:hAnsi="Courier New" w:cs="Courier New"/>
          <w:sz w:val="24"/>
          <w:szCs w:val="24"/>
          <w:lang w:val="tr-TR"/>
        </w:rPr>
      </w:pPr>
    </w:p>
    <w:p w:rsidR="00014866" w:rsidRDefault="00014866" w:rsidP="00C63DC5">
      <w:pPr>
        <w:spacing w:line="360" w:lineRule="auto"/>
        <w:contextualSpacing/>
        <w:rPr>
          <w:rFonts w:ascii="Courier New" w:hAnsi="Courier New" w:cs="Courier New"/>
          <w:sz w:val="24"/>
          <w:szCs w:val="24"/>
          <w:lang w:val="tr-TR"/>
        </w:rPr>
      </w:pPr>
    </w:p>
    <w:sectPr w:rsidR="00014866" w:rsidSect="00FE7DC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A2" w:rsidRDefault="004D46A2" w:rsidP="00833DCA">
      <w:pPr>
        <w:spacing w:after="0" w:line="240" w:lineRule="auto"/>
      </w:pPr>
      <w:r>
        <w:separator/>
      </w:r>
    </w:p>
  </w:endnote>
  <w:endnote w:type="continuationSeparator" w:id="0">
    <w:p w:rsidR="004D46A2" w:rsidRDefault="004D46A2" w:rsidP="00833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A2" w:rsidRDefault="004D46A2" w:rsidP="00833DCA">
      <w:pPr>
        <w:spacing w:after="0" w:line="240" w:lineRule="auto"/>
      </w:pPr>
      <w:r>
        <w:separator/>
      </w:r>
    </w:p>
  </w:footnote>
  <w:footnote w:type="continuationSeparator" w:id="0">
    <w:p w:rsidR="004D46A2" w:rsidRDefault="004D46A2" w:rsidP="00833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891"/>
      <w:docPartObj>
        <w:docPartGallery w:val="Page Numbers (Top of Page)"/>
        <w:docPartUnique/>
      </w:docPartObj>
    </w:sdtPr>
    <w:sdtContent>
      <w:p w:rsidR="00FE7DC7" w:rsidRDefault="00BF4B84">
        <w:pPr>
          <w:pStyle w:val="Header"/>
          <w:jc w:val="center"/>
        </w:pPr>
        <w:fldSimple w:instr=" PAGE   \* MERGEFORMAT ">
          <w:r w:rsidR="009360C2">
            <w:rPr>
              <w:noProof/>
            </w:rPr>
            <w:t>6</w:t>
          </w:r>
        </w:fldSimple>
      </w:p>
    </w:sdtContent>
  </w:sdt>
  <w:p w:rsidR="00FE7DC7" w:rsidRDefault="00FE7D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0DE9"/>
    <w:multiLevelType w:val="hybridMultilevel"/>
    <w:tmpl w:val="082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5B41FA"/>
    <w:rsid w:val="00014866"/>
    <w:rsid w:val="00036B88"/>
    <w:rsid w:val="000B7A75"/>
    <w:rsid w:val="00174C71"/>
    <w:rsid w:val="001D0B63"/>
    <w:rsid w:val="00405C35"/>
    <w:rsid w:val="00466A69"/>
    <w:rsid w:val="004D46A2"/>
    <w:rsid w:val="00521D25"/>
    <w:rsid w:val="00567CE3"/>
    <w:rsid w:val="005942DE"/>
    <w:rsid w:val="005B41FA"/>
    <w:rsid w:val="0069501D"/>
    <w:rsid w:val="00786547"/>
    <w:rsid w:val="007C1C8D"/>
    <w:rsid w:val="00833DCA"/>
    <w:rsid w:val="009070D5"/>
    <w:rsid w:val="009360C2"/>
    <w:rsid w:val="00982073"/>
    <w:rsid w:val="009B51A8"/>
    <w:rsid w:val="009C560B"/>
    <w:rsid w:val="00A34F7A"/>
    <w:rsid w:val="00B01004"/>
    <w:rsid w:val="00BC6C16"/>
    <w:rsid w:val="00BF4B84"/>
    <w:rsid w:val="00C01189"/>
    <w:rsid w:val="00C10AB6"/>
    <w:rsid w:val="00C2007A"/>
    <w:rsid w:val="00C411EB"/>
    <w:rsid w:val="00C63DC5"/>
    <w:rsid w:val="00C7709E"/>
    <w:rsid w:val="00D92AB6"/>
    <w:rsid w:val="00F916E0"/>
    <w:rsid w:val="00FA3591"/>
    <w:rsid w:val="00FB64E9"/>
    <w:rsid w:val="00FD19DA"/>
    <w:rsid w:val="00FD644A"/>
    <w:rsid w:val="00FE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FA"/>
  </w:style>
  <w:style w:type="paragraph" w:styleId="ListParagraph">
    <w:name w:val="List Paragraph"/>
    <w:basedOn w:val="Normal"/>
    <w:uiPriority w:val="34"/>
    <w:qFormat/>
    <w:rsid w:val="00C770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53B5-7C2D-4DCD-902B-77357E7E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bim</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mah321</dc:creator>
  <cp:keywords/>
  <dc:description/>
  <cp:lastModifiedBy>mah321</cp:lastModifiedBy>
  <cp:revision>20</cp:revision>
  <cp:lastPrinted>2014-12-18T12:50:00Z</cp:lastPrinted>
  <dcterms:created xsi:type="dcterms:W3CDTF">2014-12-11T09:38:00Z</dcterms:created>
  <dcterms:modified xsi:type="dcterms:W3CDTF">2014-12-18T12:54:00Z</dcterms:modified>
</cp:coreProperties>
</file>